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A" w:rsidRPr="001704A8" w:rsidRDefault="00D0043A" w:rsidP="00170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A8">
        <w:rPr>
          <w:rFonts w:ascii="Times New Roman" w:hAnsi="Times New Roman" w:cs="Times New Roman"/>
          <w:b/>
          <w:sz w:val="28"/>
          <w:szCs w:val="28"/>
        </w:rPr>
        <w:t>Дата проведения 19.05.2020г.</w:t>
      </w:r>
    </w:p>
    <w:tbl>
      <w:tblPr>
        <w:tblpPr w:leftFromText="180" w:rightFromText="180" w:vertAnchor="text" w:tblpX="-68" w:tblpY="1"/>
        <w:tblOverlap w:val="never"/>
        <w:tblW w:w="15043" w:type="dxa"/>
        <w:tblLayout w:type="fixed"/>
        <w:tblLook w:val="00A0" w:firstRow="1" w:lastRow="0" w:firstColumn="1" w:lastColumn="0" w:noHBand="0" w:noVBand="0"/>
      </w:tblPr>
      <w:tblGrid>
        <w:gridCol w:w="15043"/>
      </w:tblGrid>
      <w:tr w:rsidR="001704A8" w:rsidRPr="001704A8" w:rsidTr="00D0043A">
        <w:trPr>
          <w:trHeight w:val="145"/>
        </w:trPr>
        <w:tc>
          <w:tcPr>
            <w:tcW w:w="15043" w:type="dxa"/>
            <w:shd w:val="clear" w:color="auto" w:fill="FFFFFF"/>
          </w:tcPr>
          <w:p w:rsidR="00D0043A" w:rsidRPr="001704A8" w:rsidRDefault="00D0043A" w:rsidP="001704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4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Сферы применения технического регулирования.</w:t>
            </w:r>
          </w:p>
        </w:tc>
      </w:tr>
      <w:tr w:rsidR="001704A8" w:rsidRPr="001704A8" w:rsidTr="00D0043A">
        <w:trPr>
          <w:trHeight w:val="145"/>
        </w:trPr>
        <w:tc>
          <w:tcPr>
            <w:tcW w:w="15043" w:type="dxa"/>
            <w:shd w:val="clear" w:color="auto" w:fill="FFFFFF"/>
          </w:tcPr>
          <w:p w:rsidR="00D0043A" w:rsidRPr="001704A8" w:rsidRDefault="00D0043A" w:rsidP="001704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4A8">
              <w:rPr>
                <w:rFonts w:ascii="Times New Roman" w:hAnsi="Times New Roman" w:cs="Times New Roman"/>
                <w:b/>
                <w:sz w:val="28"/>
                <w:szCs w:val="28"/>
              </w:rPr>
              <w:t>Объект технического регулирования.</w:t>
            </w:r>
          </w:p>
        </w:tc>
      </w:tr>
    </w:tbl>
    <w:p w:rsidR="00D0043A" w:rsidRPr="001704A8" w:rsidRDefault="00B83CE9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i/>
          <w:sz w:val="24"/>
          <w:szCs w:val="24"/>
        </w:rPr>
        <w:t>Теоретический материал по теме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С июля 2003 года вступил в силу Федеральный закон Российской федерации (№184-ФЗ от 27 декабря 2002г) «О техническом регулировании». Согласно статье 47 этого закона признается утратившими силу законы РФ «О стандартизации» и «О сертификации продукции и услуг» введенные в действие с 1993 года. В мае 2007 года утвержден закон №65-ФЗ «О внесении изменений в Федеральный закон», «О техническом регулировании». Все положения по техническому регулированию, стандартизации и сертификации будут излагаться в соответствии с внесенными изменениями.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Эффективно работающий мировой рынок – это экономическое пространство, в котором свободно через границы государств перемещаются товары, капитал, трудовые ресурсы, где для них складываются наиболее благоприятные условия. Создание такого экономического пространства возможно, если принять меры к устранению технических и тарифных барьеров, причем под техническим барьером понимается различие требований к продукции и другим объектам, содержащимся в национальных стандартах различных государств. Так, из-за различных требований к определенным характеристикам автомобильной техники запрещен ее ввоз из России во многие страны мира. По данным экономического комитета </w:t>
      </w:r>
      <w:proofErr w:type="gramStart"/>
      <w:r w:rsidRPr="001704A8">
        <w:rPr>
          <w:rFonts w:ascii="Times New Roman" w:eastAsia="Times New Roman" w:hAnsi="Times New Roman" w:cs="Times New Roman"/>
          <w:sz w:val="24"/>
          <w:szCs w:val="24"/>
        </w:rPr>
        <w:t>Азиатского-Тихоокеанского</w:t>
      </w:r>
      <w:proofErr w:type="gramEnd"/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разработанные программы по устранению технических барьеров дали странам около 45млрд. долларов прибыли (2).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регулировани</w:t>
      </w:r>
      <w:proofErr w:type="gramStart"/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отношений в области установления, применения и исполнения обязательных требований к продукции и связанным с ними процессами жизненного цикла; установление и применение на добровольной основе требований к продукции, процессам проектирования, производства наладки монтажа, эксплуатации хранения, реализации, утилизации; проведение работ в области оценки соответствия. (ЖЦП – жизненный цикл продукции является фундаментальным понятием в учении о системе менеджмента качества и представляет собой совокупность взаимосвязанных этапов изменения состояние продукции: маркетинг, проектирование и изготовление, закупки, проверка, реализация, эксплуатация, техническое обслуживание, утилизация после использования).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Исходя из этого определения техническое регулирование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> сводится</w:t>
      </w:r>
      <w:proofErr w:type="gramEnd"/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 к трем видам деятельности: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- первый вид деятельности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> реализуется через принятие и применение технических регламентов, имеющих силу закона, подзаконных актах и обязательных для применения;</w:t>
      </w:r>
    </w:p>
    <w:p w:rsidR="00D0043A" w:rsidRPr="001704A8" w:rsidRDefault="00D0043A" w:rsidP="0017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A" w:rsidRPr="001704A8" w:rsidRDefault="00D0043A" w:rsidP="0017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 </w:t>
      </w:r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="00B83CE9"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>реализуется деятельностью по стандартизации через разработку и утверждение стандартов, которые должны применяться на добровольной основе;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третий вид деятельности основывается </w:t>
      </w:r>
      <w:proofErr w:type="spellStart"/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>оценке</w:t>
      </w:r>
      <w:proofErr w:type="spellEnd"/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(сертификация, декларирование соответствия).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Таким образом, введение закона о техническом регулировании не отменяет стандартизацию (тем более существующие ГОСТы) и сертификацию, как виды деятельности, но вносит определенные изменения, дополнения в существующие системы стандартизации и сертификации.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Принятие Федерального закона о техническом регулировании обусловлено тремя объективными обстоятельствами: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необходимостью сближения и </w:t>
      </w:r>
      <w:proofErr w:type="spellStart"/>
      <w:r w:rsidRPr="001704A8">
        <w:rPr>
          <w:rFonts w:ascii="Times New Roman" w:eastAsia="Times New Roman" w:hAnsi="Times New Roman" w:cs="Times New Roman"/>
          <w:sz w:val="24"/>
          <w:szCs w:val="24"/>
        </w:rPr>
        <w:t>взаимоувязки</w:t>
      </w:r>
      <w:proofErr w:type="spellEnd"/>
      <w:r w:rsidRPr="001704A8">
        <w:rPr>
          <w:rFonts w:ascii="Times New Roman" w:eastAsia="Times New Roman" w:hAnsi="Times New Roman" w:cs="Times New Roman"/>
          <w:sz w:val="24"/>
          <w:szCs w:val="24"/>
        </w:rPr>
        <w:t>, гармонизации требований к продукции и деятельности по техническому законодательству в России с таковыми в промышленно развитых странах для устранения технических, экономических и организационных барьеров при вступлении в единое экономическое пространство;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задачей снятие избыточных ограничений, содержащихся в государственных стандартах, санитарных, строительных нормах и правилах и во множестве отраслевых документов, которые сдерживают предпринимательскую инициативу и бизнес граждан;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необходимостью упорядочения названий, обязательных требований по составу и качеству продукции, особенно в пищевой промышленности. </w:t>
      </w:r>
      <w:proofErr w:type="gramStart"/>
      <w:r w:rsidRPr="001704A8">
        <w:rPr>
          <w:rFonts w:ascii="Times New Roman" w:eastAsia="Times New Roman" w:hAnsi="Times New Roman" w:cs="Times New Roman"/>
          <w:sz w:val="24"/>
          <w:szCs w:val="24"/>
        </w:rPr>
        <w:t>Это обусловлено тем обстоятельством, что имеющийся в настоящее время набор обязательных требований в многочисленных нормативных документах, технических условиях (ТУ) на продукцию не обеспечивает надлежащие качество и создает, в ряде случаев, опасность для здоровья граждан.</w:t>
      </w:r>
      <w:proofErr w:type="gramEnd"/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Объектами технического регулирования являются: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– продукция (готовые изделия, сырье, природное топливо, материалы);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– услуги (материальные и нематериальные);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– процессы на отдельных этапах жизненного цикла продукции, которые могут создать риск возникновения опасностей. Под риском понимается вероятность причинения вреда жизни или здоровью граждан, имуществу, окружающей среде с учетом тяжести этого вреда.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Федеральный закон регулирует отношения в следующих сферах деятельности: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4A8">
        <w:rPr>
          <w:rFonts w:ascii="Times New Roman" w:eastAsia="Times New Roman" w:hAnsi="Times New Roman" w:cs="Times New Roman"/>
          <w:sz w:val="24"/>
          <w:szCs w:val="24"/>
        </w:rPr>
        <w:t>- при разработке, принятии и исполнении обязательных требований к продукции или связанными с ними процессам проектирования (включая изыскания) производства, строительства, монтажа, наладки, а также эксплуатации, хранения, перевозки, реализации и утилизации;</w:t>
      </w:r>
      <w:proofErr w:type="gramEnd"/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4A8">
        <w:rPr>
          <w:rFonts w:ascii="Times New Roman" w:eastAsia="Times New Roman" w:hAnsi="Times New Roman" w:cs="Times New Roman"/>
          <w:sz w:val="24"/>
          <w:szCs w:val="24"/>
        </w:rPr>
        <w:lastRenderedPageBreak/>
        <w:t>- при разработке, принятии, применении и исполнении на добровольной основе требований к продукции или связанными с ними процессам проектирования (включая изыскания) производства, строительства, монтажа, наладки, а также эксплуатации, хранения, перевозки, реализации и утилизации, выполнению работ или услуг;</w:t>
      </w:r>
      <w:proofErr w:type="gramEnd"/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при оценке соответствия.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Таким образом, техническое регулирование можно свести к трем главным видам деятельности: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установление, применение и исполнение обязательных требований к продукции и процессам жизненного цикла (деятельность по техническому регулированию);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установление и применение на добровольной основе требований к продукции, процессам ЖЦП, выполнению работ по оказанию услуг (деятельность по стандартизации);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правовое регулирование в области оценки соответствия (деятельность по сертификации).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Четвертая сфера применения технического регулирования – формирование требований, обеспечивающих единое и безопасное функционирование единой системы сре</w:t>
      </w:r>
      <w:proofErr w:type="gramStart"/>
      <w:r w:rsidRPr="001704A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704A8">
        <w:rPr>
          <w:rFonts w:ascii="Times New Roman" w:eastAsia="Times New Roman" w:hAnsi="Times New Roman" w:cs="Times New Roman"/>
          <w:sz w:val="24"/>
          <w:szCs w:val="24"/>
        </w:rPr>
        <w:t>язи.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Действие закона «О техническом регулировании» с учетом внесенных изменений не распространяется: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на государственные образовательные стандарты, положения аудиторской деятельности и стандарты эмиссии ценных бумаг;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на социально-экономические, организационные, санитарно-гигиенические, лечебно-профилактические меры в области охраны труда.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Федеральный закон не регулирует отношения связанные с применением мер по предотвращению возникновения и распространения инфекционных заболеваний человека и по охране почвы, атмосферного воздуха водных объектов, отнесенным к местам массового отдыха и туризма.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Под термином «принятие требований» понимается их утверждение в установленном законом или положением порядке. «Принятие требований» означает их обязательный или добровольный выбор во всех случаях, для которых они приняты. Под «исполнением требований» следует понимать их обязательное соблюдение в соответствующих объектах технического регулирования.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Итогом технического регулирования является утверждение технического регламента. </w:t>
      </w:r>
      <w:r w:rsidRPr="001704A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Технический регламент</w:t>
      </w:r>
      <w:r w:rsidRPr="001704A8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t xml:space="preserve">документ, который принят и ратифицирован </w:t>
      </w:r>
      <w:r w:rsidRPr="001704A8">
        <w:rPr>
          <w:rFonts w:ascii="Times New Roman" w:eastAsia="Times New Roman" w:hAnsi="Times New Roman" w:cs="Times New Roman"/>
          <w:sz w:val="24"/>
          <w:szCs w:val="24"/>
        </w:rPr>
        <w:lastRenderedPageBreak/>
        <w:t>в порядке, установленном законодательством Российской Федерации или федеральным законом, указом президента, правительства РФ, и устанавливает обязательные для применения и исполнения требования к объектам технического регулирования (продукции, зданиям и сооружениям, процессам производства, хранения, перевозки и утилизации). Из этого определения следует, что технический регламент содержит обязательные требования к объектам технического регулирования.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Технические регламенты принимаются в целях: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защиты жизни или здоровья граждан при использовании продукции и выполнении различных процессов, связанных с продукцией;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защиты имущества физических или юридических лиц от риска возникновения различных опасностей при строительстве, эксплуатации, демонтаже;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- охраны окружающей среды жизни или здоровья животных и растений путем установления минимально необходимых ветеринарно-санитарных и фитосанитарных мер.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Принятие технических регламентов в иных целях не допускается.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Реформа технического регулирования должна заменить тысячи действующих ГОСТов, санитарных и строительных правил на сотни технических регламентов. Утверждать технические регламенты предполагается законом для того, чтобы внести ясность для приобретателей о качестве изделий, обеспечив тем самым достижение целей технических регламентов, а так же упростить условия продвижения изделий на рынок.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Так, первый технический регламент «О требованиях к выбросам автомобильной техникой, выпускаемой в обращение на территории РФ вредных веществ» был утвержден в конце 2005 года и имеет силу Федерального закона. Действие этого технического регламента запретило производство в РФ двигателей внутреннего сгорания, не отвечающих требованиям стандартов ниже ЕВРО-2 по экологическим нормам, а также наложило запрет на ввоз устаревших образцов автомобильной техники из-за рубежа.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При разработке технических регламентов, сводов правил, стандартов необходимо придерживаться определенных принципов.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Основные принципы при разработке технических регламентов следующие: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1) соответствие технических регламентов требованиям международных стандартов, уровню развития национальной экономики и материально-технической базы производства;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2) независимости органов по аккредитации и сертификации от изготовителей, продавцов и приобретателей;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lastRenderedPageBreak/>
        <w:t>3) применение единой системы и правил аккредитации;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4) недопустимости ограничения конкуренции при осуществлении сертификации и аккредитации;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5) обеспечение единства правил и методов испытаний, измерений при проведении процедур обязательной и добровольной оценки соответствия;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6) недопустимости внебюджетного финансирования государственного контроля (надзора) за соблюдением требований технических регламентов.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Первый принцип реализуется путем публикации уведомления о разработке технического регламента, в ежемесячном журнале «Вестник технического регулирования». Разработчик регламента обязан указать требования в техническом регламенте, которые отличающиеся от соответствующих требований международных стандартов или стандартов, действующих в Российской Федерации. Этот принцип указывает на необходимость соответствия продукции и материально-технического уровня испытательных лабораторий мировым показателям.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Второй принцип разработки технических регламентов означает следующее: при подтверждении соответствия в форме обязательной сертификации ее участниками являются три стороны – 1-я изготовитель (продавец) продукции, 2-я орган по сертификации и (или) испытательная лаборатория, имеющая лицензию и аккредитацию, 3-я сторона – приобретатель (пользователь, покупатель) продукции. Под независимостью органов по аккредитации и сертификации (2-й стороны) от приобретателей (3-й стороны) и изготовителей (1-й стороны) следует понимать отсутствие любой формы зависимости – административной, финансовой, экономической. Независимость органа по сертификации предполагает объективную оценку показателей, по которым проводится сертификация.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Применение принципа 3 направлено на то, что проведение работ по аккредитации (доказательство компетентности выполнять работы в определенной области) должны вестись по единым правилам.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Четвертый принцип означает следующее: поскольку в России ежемесячно получают свидетельство об аккредитации большое количество организаций и лабораторий, то может возникнуть конкуренция на проведение работ по сертификации. В этом случае заявителю услуг на подтверждение соответствия предоставляется возможность выбора организации на основе тендера.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Принцип 5 необходимо учитывать при проведении обязательной и добровольной оценки соответствия, при которых правила и методы испытаний проводятся в соответствии с имеющимися методиками, установленными определенными нормативными документами (ГОСТами, Правилами и т.д.).</w:t>
      </w:r>
    </w:p>
    <w:p w:rsidR="00D0043A" w:rsidRPr="001704A8" w:rsidRDefault="00D0043A" w:rsidP="001704A8">
      <w:pPr>
        <w:shd w:val="clear" w:color="auto" w:fill="FFFFFF"/>
        <w:spacing w:before="161" w:after="100" w:afterAutospacing="1" w:line="288" w:lineRule="atLeast"/>
        <w:ind w:left="161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sz w:val="24"/>
          <w:szCs w:val="24"/>
        </w:rPr>
        <w:t>Последний шестой принцип указывает на то, что контроль (надзор) за соблюдением требований технических регламентов возложен на государственные и уполномоченные на то организации, финансируемые из бюджета.</w:t>
      </w:r>
    </w:p>
    <w:p w:rsidR="002A7002" w:rsidRPr="001704A8" w:rsidRDefault="00B83CE9" w:rsidP="001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1704A8">
        <w:rPr>
          <w:rFonts w:ascii="Times New Roman" w:hAnsi="Times New Roman" w:cs="Times New Roman"/>
          <w:sz w:val="24"/>
          <w:szCs w:val="24"/>
        </w:rPr>
        <w:lastRenderedPageBreak/>
        <w:t>Задание: Выполните тестовое задание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отношения регулирует Федеральный закон «О техническом регулировании»?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1. Разработку, принятие, применение и исполнение обязательных требований к продукции, процессам производства, эксплуатации хранения, перевозки, реализации и утилизации.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  <w:t>2. Разработку, принятие, применение и исполнение на добровольной основе требований к продукции, процессам производства эксплуатации, хранения, перевозки, реализации и утилизации, выполнению работ или оказанию услуг.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  <w:t>3. Оценку соответствия.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  <w:t>4. Права и обязанности участников отношений.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5. Оценку технико-экономического уровня продукции, услуг и работ на соответствие лучшим мировым образцам.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2. На какие объекты распространяется сфера применения Федерального закона «О техническом регулировании»?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4"/>
          <w:szCs w:val="24"/>
        </w:rPr>
        <w:t>1. На единую сеть связи РФ.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2. На государственные образовательные стандарты.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На положения о бухгалтерском учете.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Правила аудиторской деятельности.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5. Стандарты эмиссии ценных бумаг.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6. На требования к продукции.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7. На требования к процессам производства продукции.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  <w:t>8. На требования к выполнению работ и оказанию услуг. 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3. Что такое «декларирование соответствия»?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1. Форма подтверждения соответствия продукции требованиям технических регламентов.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2. Совокупность свойств декларируемой продукции.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Совокупность оценки технико-экономических показателей продукции требованиям технических условий.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Документирование конструктивно-правовых особенностей продукции.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4. Что представляет собой декларация о соответствии?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1. Документ, удостоверяющий соответствие выпускаемой в обращение продукции требованиям технических регламентов.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2. Документ, удостоверяющий соответствие выпускаемой в обращение продукции требованиям потребителей.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Документ, удостоверяющий соответствие экономической устойчивости изготавливающего продукцию предприятия.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Форму подтверждения соответствия продукции требованиям технических регламентов.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5. Что представляет собой знак обращения на рынке?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4"/>
          <w:szCs w:val="24"/>
        </w:rPr>
        <w:t>1. Товарный знак.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2. Торговую марку.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Документ, удостоверяющий соответствие выпускаемой в обращение продукции требованиям потребителей.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4. 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5. Обозначение, служащее для информирования приобретателей о соответствии выпускаемой в обращение продукции требованиям технических регламентов.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Что представляет собой знак соответствия?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4"/>
          <w:szCs w:val="24"/>
        </w:rPr>
        <w:t>1. Товарный знак.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2. Торговую марку.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Документ, удостоверяющий соответствие выпускаемой в обращение продукции требованиям потребителей.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Обозначение, служащее для информирования приобретателей о соответствии выпускаемой в обращение продукции требованиям технических регламентов.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5.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Каким документом установлены правовые основы подтверждения соответствия продукции (или иных объектов) требованиям технических регламентов, положениям стандартов или условиям договоров?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4"/>
          <w:szCs w:val="24"/>
        </w:rPr>
        <w:t>1. Федеральным законом «О защите прав потребителей».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2. Федеральным законом «О техническом регулировании».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3. Федеральным законом «О сертификации продукции и услуг».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Федеральным законом «О стандартизации».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1. Сертификат соответствия.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2. Патент.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Стандарт.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Спецификация.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5. Декларация.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 называется (в соответствии с Федеральным законом «О техническом регулировании») официальное признание органом по аккредитации компетентности физического или юридического лица выполняющие работы в определенной области оценки соответствия?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1. Аккредитация. 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2. Патентование.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Декларирование.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Декларация.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b/>
          <w:bCs/>
          <w:sz w:val="24"/>
          <w:szCs w:val="24"/>
        </w:rPr>
        <w:t>10. Как называется (в соответствии с Федеральным законом «О техническом регулировании»)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растений?</w:t>
      </w:r>
    </w:p>
    <w:p w:rsidR="00B83CE9" w:rsidRPr="00B83CE9" w:rsidRDefault="00B83CE9" w:rsidP="004028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3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3CE9">
        <w:rPr>
          <w:rFonts w:ascii="Times New Roman" w:eastAsia="Times New Roman" w:hAnsi="Times New Roman" w:cs="Times New Roman"/>
          <w:iCs/>
          <w:sz w:val="24"/>
          <w:szCs w:val="24"/>
        </w:rPr>
        <w:t>. Безопасность продукции (процессов).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2. Безотказность.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3. Шанс.</w:t>
      </w:r>
      <w:r w:rsidRPr="00B83CE9">
        <w:rPr>
          <w:rFonts w:ascii="Times New Roman" w:eastAsia="Times New Roman" w:hAnsi="Times New Roman" w:cs="Times New Roman"/>
          <w:sz w:val="24"/>
          <w:szCs w:val="24"/>
        </w:rPr>
        <w:br/>
        <w:t>4. Вероятность.</w:t>
      </w:r>
    </w:p>
    <w:p w:rsidR="00B83CE9" w:rsidRPr="001704A8" w:rsidRDefault="001704A8" w:rsidP="0040281D">
      <w:pPr>
        <w:tabs>
          <w:tab w:val="left" w:pos="1784"/>
        </w:tabs>
        <w:rPr>
          <w:rFonts w:ascii="Times New Roman" w:hAnsi="Times New Roman" w:cs="Times New Roman"/>
          <w:sz w:val="24"/>
          <w:szCs w:val="24"/>
        </w:rPr>
      </w:pPr>
      <w:r w:rsidRPr="001704A8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1704A8" w:rsidRPr="001704A8" w:rsidRDefault="001704A8" w:rsidP="001704A8">
      <w:pPr>
        <w:spacing w:line="317" w:lineRule="exact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1704A8">
        <w:rPr>
          <w:rFonts w:ascii="Times New Roman" w:eastAsia="Times New Roman" w:hAnsi="Times New Roman" w:cs="Times New Roman"/>
          <w:b/>
          <w:bCs/>
          <w:lang w:eastAsia="en-US"/>
        </w:rPr>
        <w:t>Основная литература:</w:t>
      </w:r>
    </w:p>
    <w:p w:rsidR="001704A8" w:rsidRPr="001704A8" w:rsidRDefault="001704A8" w:rsidP="001704A8">
      <w:pPr>
        <w:widowControl w:val="0"/>
        <w:tabs>
          <w:tab w:val="left" w:pos="378"/>
        </w:tabs>
        <w:spacing w:after="0" w:line="317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1704A8">
        <w:rPr>
          <w:rFonts w:ascii="Times New Roman" w:eastAsia="Times New Roman" w:hAnsi="Times New Roman" w:cs="Times New Roman"/>
          <w:lang w:eastAsia="en-US"/>
        </w:rPr>
        <w:t xml:space="preserve">1. </w:t>
      </w:r>
      <w:proofErr w:type="spellStart"/>
      <w:r w:rsidRPr="001704A8">
        <w:rPr>
          <w:rFonts w:ascii="Times New Roman" w:eastAsia="Times New Roman" w:hAnsi="Times New Roman" w:cs="Times New Roman"/>
          <w:lang w:eastAsia="en-US"/>
        </w:rPr>
        <w:t>Т.А.Качурина</w:t>
      </w:r>
      <w:proofErr w:type="spellEnd"/>
      <w:r w:rsidRPr="001704A8">
        <w:rPr>
          <w:rFonts w:ascii="Times New Roman" w:eastAsia="Times New Roman" w:hAnsi="Times New Roman" w:cs="Times New Roman"/>
          <w:lang w:eastAsia="en-US"/>
        </w:rPr>
        <w:t xml:space="preserve"> Метрология и стандартизация: учебник для студентов учреждений </w:t>
      </w:r>
      <w:proofErr w:type="spellStart"/>
      <w:r w:rsidRPr="001704A8">
        <w:rPr>
          <w:rFonts w:ascii="Times New Roman" w:eastAsia="Times New Roman" w:hAnsi="Times New Roman" w:cs="Times New Roman"/>
          <w:lang w:eastAsia="en-US"/>
        </w:rPr>
        <w:t>срд</w:t>
      </w:r>
      <w:proofErr w:type="gramStart"/>
      <w:r w:rsidRPr="001704A8">
        <w:rPr>
          <w:rFonts w:ascii="Times New Roman" w:eastAsia="Times New Roman" w:hAnsi="Times New Roman" w:cs="Times New Roman"/>
          <w:lang w:eastAsia="en-US"/>
        </w:rPr>
        <w:t>.п</w:t>
      </w:r>
      <w:proofErr w:type="gramEnd"/>
      <w:r w:rsidRPr="001704A8">
        <w:rPr>
          <w:rFonts w:ascii="Times New Roman" w:eastAsia="Times New Roman" w:hAnsi="Times New Roman" w:cs="Times New Roman"/>
          <w:lang w:eastAsia="en-US"/>
        </w:rPr>
        <w:t>роф.образования</w:t>
      </w:r>
      <w:proofErr w:type="spellEnd"/>
      <w:r w:rsidRPr="001704A8">
        <w:rPr>
          <w:rFonts w:ascii="Times New Roman" w:eastAsia="Times New Roman" w:hAnsi="Times New Roman" w:cs="Times New Roman"/>
          <w:lang w:eastAsia="en-US"/>
        </w:rPr>
        <w:t xml:space="preserve"> /</w:t>
      </w:r>
      <w:proofErr w:type="spellStart"/>
      <w:r w:rsidRPr="001704A8">
        <w:rPr>
          <w:rFonts w:ascii="Times New Roman" w:eastAsia="Times New Roman" w:hAnsi="Times New Roman" w:cs="Times New Roman"/>
          <w:lang w:eastAsia="en-US"/>
        </w:rPr>
        <w:t>Т.А.Качурина</w:t>
      </w:r>
      <w:proofErr w:type="spellEnd"/>
      <w:r w:rsidRPr="001704A8">
        <w:rPr>
          <w:rFonts w:ascii="Times New Roman" w:eastAsia="Times New Roman" w:hAnsi="Times New Roman" w:cs="Times New Roman"/>
          <w:lang w:eastAsia="en-US"/>
        </w:rPr>
        <w:t>.-М.: Издательский центр «Академия», 2015 г.</w:t>
      </w:r>
    </w:p>
    <w:p w:rsidR="001704A8" w:rsidRPr="001704A8" w:rsidRDefault="001704A8" w:rsidP="001704A8">
      <w:pPr>
        <w:keepNext/>
        <w:keepLines/>
        <w:spacing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1704A8" w:rsidRPr="001704A8" w:rsidRDefault="001704A8" w:rsidP="0017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4A8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B83CE9" w:rsidRPr="001704A8" w:rsidRDefault="00B83CE9" w:rsidP="0017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E9" w:rsidRPr="001704A8" w:rsidRDefault="00B83CE9" w:rsidP="001704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CE9" w:rsidRPr="001704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3A" w:rsidRDefault="00D0043A" w:rsidP="00D0043A">
      <w:pPr>
        <w:spacing w:after="0" w:line="240" w:lineRule="auto"/>
      </w:pPr>
      <w:r>
        <w:separator/>
      </w:r>
    </w:p>
  </w:endnote>
  <w:endnote w:type="continuationSeparator" w:id="0">
    <w:p w:rsidR="00D0043A" w:rsidRDefault="00D0043A" w:rsidP="00D0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3A" w:rsidRDefault="00D0043A" w:rsidP="00D0043A">
      <w:pPr>
        <w:spacing w:after="0" w:line="240" w:lineRule="auto"/>
      </w:pPr>
      <w:r>
        <w:separator/>
      </w:r>
    </w:p>
  </w:footnote>
  <w:footnote w:type="continuationSeparator" w:id="0">
    <w:p w:rsidR="00D0043A" w:rsidRDefault="00D0043A" w:rsidP="00D0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3A" w:rsidRDefault="00D0043A">
    <w:pPr>
      <w:pStyle w:val="a8"/>
    </w:pPr>
  </w:p>
  <w:p w:rsidR="00D0043A" w:rsidRDefault="00D004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43A"/>
    <w:rsid w:val="001704A8"/>
    <w:rsid w:val="002A7002"/>
    <w:rsid w:val="0040281D"/>
    <w:rsid w:val="00B83CE9"/>
    <w:rsid w:val="00D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43A"/>
    <w:rPr>
      <w:b/>
      <w:bCs/>
    </w:rPr>
  </w:style>
  <w:style w:type="character" w:styleId="a5">
    <w:name w:val="Hyperlink"/>
    <w:basedOn w:val="a0"/>
    <w:uiPriority w:val="99"/>
    <w:semiHidden/>
    <w:unhideWhenUsed/>
    <w:rsid w:val="00D004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43A"/>
  </w:style>
  <w:style w:type="paragraph" w:styleId="aa">
    <w:name w:val="footer"/>
    <w:basedOn w:val="a"/>
    <w:link w:val="ab"/>
    <w:uiPriority w:val="99"/>
    <w:unhideWhenUsed/>
    <w:rsid w:val="00D0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user</cp:lastModifiedBy>
  <cp:revision>4</cp:revision>
  <dcterms:created xsi:type="dcterms:W3CDTF">2020-05-18T17:30:00Z</dcterms:created>
  <dcterms:modified xsi:type="dcterms:W3CDTF">2020-05-18T18:02:00Z</dcterms:modified>
</cp:coreProperties>
</file>