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A2" w:rsidRPr="001D37A2" w:rsidRDefault="001D37A2" w:rsidP="001D37A2">
      <w:pPr>
        <w:pStyle w:val="a3"/>
        <w:shd w:val="clear" w:color="auto" w:fill="FFFFDD"/>
        <w:spacing w:before="0" w:beforeAutospacing="0" w:after="0" w:afterAutospacing="0"/>
        <w:ind w:firstLine="215"/>
        <w:jc w:val="center"/>
        <w:rPr>
          <w:b/>
          <w:bCs/>
          <w:color w:val="000000"/>
        </w:rPr>
      </w:pPr>
      <w:r w:rsidRPr="001D37A2">
        <w:rPr>
          <w:b/>
          <w:bCs/>
          <w:color w:val="000000"/>
        </w:rPr>
        <w:t xml:space="preserve">Дата проведения: 19.05.2020г. </w:t>
      </w:r>
    </w:p>
    <w:p w:rsidR="001D37A2" w:rsidRDefault="001D37A2" w:rsidP="001D37A2">
      <w:pPr>
        <w:pStyle w:val="a3"/>
        <w:shd w:val="clear" w:color="auto" w:fill="FFFFDD"/>
        <w:spacing w:before="0" w:beforeAutospacing="0" w:after="0" w:afterAutospacing="0"/>
        <w:ind w:firstLine="215"/>
        <w:jc w:val="center"/>
        <w:rPr>
          <w:b/>
          <w:bCs/>
          <w:color w:val="000000"/>
        </w:rPr>
      </w:pPr>
      <w:r>
        <w:rPr>
          <w:b/>
          <w:bCs/>
          <w:color w:val="000000"/>
        </w:rPr>
        <w:t xml:space="preserve">Тема урока: </w:t>
      </w:r>
      <w:r w:rsidRPr="001D37A2">
        <w:rPr>
          <w:b/>
          <w:bCs/>
          <w:color w:val="000000"/>
        </w:rPr>
        <w:t>ПРАВОВОЕ РЕГУЛИРОВАНИЕ ЭКОНОМИЧЕСКИХ ОТНОШЕНИЙ</w:t>
      </w:r>
      <w:r>
        <w:rPr>
          <w:b/>
          <w:bCs/>
          <w:color w:val="000000"/>
        </w:rPr>
        <w:t xml:space="preserve">. </w:t>
      </w:r>
      <w:r w:rsidRPr="001D37A2">
        <w:rPr>
          <w:sz w:val="32"/>
          <w:szCs w:val="32"/>
        </w:rPr>
        <w:t>Хозяйственное право и его источники.</w:t>
      </w:r>
    </w:p>
    <w:p w:rsidR="001D37A2" w:rsidRPr="001D37A2" w:rsidRDefault="001D37A2" w:rsidP="001D37A2">
      <w:pPr>
        <w:pStyle w:val="a3"/>
        <w:shd w:val="clear" w:color="auto" w:fill="FFFFDD"/>
        <w:spacing w:before="0" w:beforeAutospacing="0" w:after="0" w:afterAutospacing="0"/>
        <w:ind w:firstLine="215"/>
        <w:jc w:val="center"/>
        <w:rPr>
          <w:i/>
          <w:color w:val="000000"/>
        </w:rPr>
      </w:pPr>
      <w:r w:rsidRPr="001D37A2">
        <w:rPr>
          <w:bCs/>
          <w:i/>
          <w:color w:val="000000"/>
        </w:rPr>
        <w:t>Теоретический материал по теме.</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i/>
          <w:iCs/>
          <w:color w:val="000000"/>
        </w:rPr>
        <w:t>1.1. Экономические отношения как предмет правового регулирования</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По своей сути право — это регулятор общественных отношений. Его предназначение состоит в том, чтобы упорядочить жизнь общества, обеспечить его нормальное функционирование и развитие. Однако не все общественные отношения, не все сферы жизни общества в одинаковой степени являются предметом правового регулирования. Следует помнить о том, что до права и вместе с ним существовали и существуют обычаи и традиции, мораль, религия, которые также выступают как важнейшие регуляторы общественных отношений. И только вместе они могут обеспечить нормальное развитие общества. Причем в различных сферах жизни общества роль каждого из этих социальных регуляторов не одинакова.</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Есть такие сферы жизни общества, в регулировании которых праву принадлежит отнюдь не главенствующая роль. А есть и такие отношения, которые вообще не подлежат правовому регулированию (это прежде всего глубоко личностные, интимные, отношения: любви, дружбы и т. д.).</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xml:space="preserve">Что касается экономики, то она относится к тем сферам, в которых роль права традиционно существенна. Экономические отношения всегда — </w:t>
      </w:r>
      <w:proofErr w:type="spellStart"/>
      <w:r w:rsidRPr="001D37A2">
        <w:rPr>
          <w:color w:val="000000"/>
        </w:rPr>
        <w:t>разумеется,с</w:t>
      </w:r>
      <w:proofErr w:type="spellEnd"/>
      <w:r w:rsidRPr="001D37A2">
        <w:rPr>
          <w:color w:val="000000"/>
        </w:rPr>
        <w:t xml:space="preserve"> того момента, как появилось право — были предметом правового регулирования. Естественно, это регулирование имело свою специфику в различные исторические эпохи и в условиях различных экономических систем. Имеет свои особенности и правовое регулирование экономических отношений в условиях рыночной экономики.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На первый взгляд может показаться, что рыночная экономика в правовой регламентации вообще не нуждается — ведь одним из краеугольных камней</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этой экономической системы является свобода экономической деятельности. Однако думать так было бы большой ошибкой. Сама жизнь, практика показывают несостоятельность такого взгляда на рыночную экономику.</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Во-первых, правовое регулирование рыночной экономики необходимо в целях защиты интересов общества и государства. Опыт практически всех стран с рыночной экономикой свидетельствует, что «абсолютная экономическая свобода» всегда связана со злоупотреблениями — появлением на рынке некачественных товаров, работ и услуг, иногда представляющих опасность для жизни и здоровья потребителей, возникновением мошеннических предпринимательских структур, «безвозвратно» привлекающих сбережения граждан и многими другими «издержками».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Одним из самых опасных последствий такой «свободы» является исчезновение свободной конкуренции и господство монополий. Конкуренция — один из важнейших механизмов, обеспечивающих эффективность рыночной экономики. Монополии же позволяют отдельным производителям получать сверхприбыли, не заботясь об эффективности производства, качестве продукции и т. д. Для монополистов такое положение дел выгодно. Для потребителей, для общества в целом, для государства — представляет опасность, которую трудно переоценить. Поэтому во всех цивилизованных странах важнейшим элементом механизма регулирования рыночной экономики является антимонопольное законодательство.</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С другой стороны, правовое регулирование экономических отношений в условиях рыночной экономики необходимо для обеспечения прав и интересов самих предпринимателей. Ведь подлинная, а не мнимая свобода экономической деятельности не исключает, а предполагает ее определенную регламентацию.</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xml:space="preserve">Вступая в разнообразные отношения между собой, с потребителями, с государством, предприниматели заинтересованы в том, чтобы эти отношения были упорядоченными, предсказуемыми, строились в соответствии с определенными правилами. Не используя </w:t>
      </w:r>
      <w:r w:rsidRPr="001D37A2">
        <w:rPr>
          <w:color w:val="000000"/>
        </w:rPr>
        <w:lastRenderedPageBreak/>
        <w:t>потенциал права, достичь этого невозможно. Таким образом, есть все основания утверждать, что правовое регулирование экономических отношений является необходимым условием нормального функционирования рыночной экономики.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i/>
          <w:iCs/>
          <w:color w:val="000000"/>
        </w:rPr>
        <w:t>1.2. Понятие и признаки предпринимательской деятельности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В условиях рыночной экономики основную массу экономических отношений составляют отношения, складывающиеся в процессе осуществления предпринимательской деятельности. Рассмотрим, что же она</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собой представляет.</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Определение предпринимательской деятельности с точки зрения закона дано в ст. 2 Гражданского кодекса РФ. В соответствии с данной статьей предпринимательской является самостоятельная, осуществляемая на свои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Из этого определения можно выделить следующие признаки предпринимательской деятельности: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1) самостоятельность;</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2) направленность на систематическое получение прибыли;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3) рисковый характер;</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4) регистрация в установленном законом порядке лиц, осуществляющих эту деятельность.</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Остановимся на этих признаках подробнее.</w:t>
      </w:r>
      <w:r>
        <w:rPr>
          <w:color w:val="000000"/>
        </w:rPr>
        <w:t xml:space="preserve"> </w:t>
      </w:r>
      <w:r w:rsidRPr="001D37A2">
        <w:rPr>
          <w:color w:val="000000"/>
        </w:rPr>
        <w:t>Самостоятельность как признак предпринимательской деятельности включает в себя организационную самостоятельность и имущественную самостоятельность предпринимателя.</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Организационная самостоятельность проявляется в том, что предприниматель сам — без всяких указаний «сверху» — решает, что и как производить, у кого приобретать необходимое сырье и материалы, кому и по каким ценам реализовывать произведенную продукцию и т. д.</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Имущественная самостоятельность предполагает наличие у предпринимателя обособленного, т.е. именно ему принадлежащего имущества, которое он использует при осуществлении предпринимательской деятельности. Не всегда такое имущество является собственностью предпринимателя. Существуют субъекты предпринимательской деятельности, владеющие имуществом на праве хозяйственного ведения или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праве оперативного управления (об этом подробнее будет сказано в следующей главе учебника). Какой то частью имущества предприниматель может владеть, например, на праве аренды. Но в любом случае предприниматель обладает возможностью самостоятельного использования такого имущества. Имущественная самостоятельность предпринимателя является основой его организационной самостоятельности.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Рисковый характер предпринимательской деятельности заключается в том, что далеко не всегда она дает ожидаемые результаты. В силу самых разнообразных причин как субъективного (ошибки, просчеты предпринимателя), так и объективного (изменение рыночной конъюнктуры, дефолт, стихийное бедствие) характера предприниматель может не только не получить запланированную прибыль, но и разориться, потерпеть крах. Именно рисковый характер предпринимательской деятельности обусловил появление в гражданском праве института несостоятельности (банкротства).</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xml:space="preserve">Направленность на систематическое получение прибыли — пожалуй, самый существенный </w:t>
      </w:r>
      <w:proofErr w:type="spellStart"/>
      <w:r w:rsidRPr="001D37A2">
        <w:rPr>
          <w:color w:val="000000"/>
        </w:rPr>
        <w:t>признакпредпринимательской</w:t>
      </w:r>
      <w:proofErr w:type="spellEnd"/>
      <w:r w:rsidRPr="001D37A2">
        <w:rPr>
          <w:color w:val="000000"/>
        </w:rPr>
        <w:t xml:space="preserve"> деятельности. И с точки зрения обыденного сознания, и с точки зрения науки предпринимательская деятельность — это прежде всего деятельность, целью которой является получение прибыли. Другие признаки предпринимательской деятельности являются в определенном смысле вторичными, производными от данного признака. При этом следует иметь в виду, что с точки зрения закона для квалификации деятельности в качестве предпринимательской не обязательно, </w:t>
      </w:r>
      <w:r w:rsidRPr="001D37A2">
        <w:rPr>
          <w:color w:val="000000"/>
        </w:rPr>
        <w:lastRenderedPageBreak/>
        <w:t>чтобы в результате ее осуществления на самом деле была получена прибыль. Важна лишь цель, направленность</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на ее получение. Будет ли в действительности прибыль или нет — имеет значение для решения иных вопросов, в частности вопросов налогообложения.</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xml:space="preserve">С другой стороны, чтобы считаться предпринимательской, деятельность должна быть направлена не просто на получение, а на систематическое получение прибыли, т. е. осуществляться более или менее регулярно. Поэтому сделки, направленные на разовое получение прибыли, нельзя рассматривать как предпринимательскую </w:t>
      </w:r>
      <w:proofErr w:type="spellStart"/>
      <w:r w:rsidRPr="001D37A2">
        <w:rPr>
          <w:color w:val="000000"/>
        </w:rPr>
        <w:t>деятельность.Что</w:t>
      </w:r>
      <w:proofErr w:type="spellEnd"/>
      <w:r w:rsidRPr="001D37A2">
        <w:rPr>
          <w:color w:val="000000"/>
        </w:rPr>
        <w:t xml:space="preserve"> касается такого признака предпринимательской деятельности, как регистрация лиц, осуществляющих эту деятельность (государственная регистрация), то его не всегда включают в число основных. Некоторые авторы рассматривают его как формальный, указывая на то, что при наличии трех других перечисленных выше признаков деятельность будет являться предпринимательской, даже если она будет осуществляться без регистрации.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Такой взгляд на государственную регистрацию как признак предпринимательской деятельности не совсем верен. Действительно, с точки зрения экономического содержания предпринимательской деятельности наличие или отсутствие государственной регистрации не имеет существенного значения. Но с точки зрения права данный признак весьма существен. В случае его отсутствия будет иметь место незаконное предпринимательство — правонарушение, за которое предусмотрена административная, а при определенных условиях — и уголовная ответственность.</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xml:space="preserve">И еще одно немаловажное замечание. Предпринимательская деятельность, являясь доминирующей в условиях рыночной экономики, не исчерпывает всей экономической жизни общества. Как мы увидим позже, среди хозяйствующих субъектов есть и такие, для которых предпринимательская деятельность имеет второстепенное значение (например, фонды, религиозные организации), и такие, которые вообще не осуществляют предпринимательскую </w:t>
      </w:r>
      <w:proofErr w:type="spellStart"/>
      <w:r w:rsidRPr="001D37A2">
        <w:rPr>
          <w:color w:val="000000"/>
        </w:rPr>
        <w:t>^деятельность</w:t>
      </w:r>
      <w:proofErr w:type="spellEnd"/>
      <w:r w:rsidRPr="001D37A2">
        <w:rPr>
          <w:color w:val="000000"/>
        </w:rPr>
        <w:t>, являясь при этом участниками хозяйственных правоотношений (многие жилищно-строительные, гаражные кооперативы и т. д.).</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xml:space="preserve">Это означает, что понятия «предпринимательская деятельность» и «хозяйственная деятельность» не являются тождественными даже в условиях рынка. Второе понятие является более широким и включает в себя первое как часть. Поэтому в ряде случаев — если предмет разговора специально не ограничивается только предпринимательской деятельностью — </w:t>
      </w:r>
      <w:proofErr w:type="spellStart"/>
      <w:r w:rsidRPr="001D37A2">
        <w:rPr>
          <w:color w:val="000000"/>
        </w:rPr>
        <w:t>правиль</w:t>
      </w:r>
      <w:proofErr w:type="spellEnd"/>
      <w:r w:rsidRPr="001D37A2">
        <w:rPr>
          <w:color w:val="000000"/>
        </w:rPr>
        <w:t>-</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нее говорить о субъектах хозяйственной, а не предпринимательской деятельности, о хозяйственных, а не предпринимательских правоотношениях, о хозяйственном, а не предпринимательском праве.</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i/>
          <w:iCs/>
          <w:color w:val="000000"/>
        </w:rPr>
        <w:t>1.3. Хозяйственное право и его источники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Хозяйственным правом называют совокупность правовых норм, регулирующих отношения, складывающиеся в процессе осуществления хозяйственной деятельности.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xml:space="preserve">Важно иметь в виду, что хозяйственное право —это не отдельная, самостоятельная отрасль права наряду, например, с гражданским, трудовым и другими отраслями, которые известны вам из курса основ права, а так называемая комплексная отрасль права, включающая в себя нормы нескольких </w:t>
      </w:r>
      <w:proofErr w:type="spellStart"/>
      <w:r w:rsidRPr="001D37A2">
        <w:rPr>
          <w:color w:val="000000"/>
        </w:rPr>
        <w:t>отраслей:конституционного</w:t>
      </w:r>
      <w:proofErr w:type="spellEnd"/>
      <w:r w:rsidRPr="001D37A2">
        <w:rPr>
          <w:color w:val="000000"/>
        </w:rPr>
        <w:t>, гражданского, финансового, административного и некоторых других.</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Этот момент важно учитывать, в частности, при характеристике источников хозяйственного права.</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Как известно, под источниками права понимаются способы выражения, закрепления и существования правовых норм. В разные времена и в различных странах в качестве источников права выступали и выступают правовой обычай, юридический прецедент, нормативно-правовой акт, нормативный договор. В настоящее время в нашей стране, как и в большинстве других стран мира, основным источником права выступают нормативно-</w:t>
      </w:r>
      <w:r w:rsidRPr="001D37A2">
        <w:rPr>
          <w:color w:val="000000"/>
        </w:rPr>
        <w:lastRenderedPageBreak/>
        <w:t>правовые акты —официальные документы, принятые компетентными органами в установленном порядке и содержащие нормы права.</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Нормативно-правовые акты делятся на две большие группы (два вида):</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1) законы, обладающие высшей юридической силой;</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2) подзаконные нормативно-правовые акты, принимаемые на основе и во исполнение законов.</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В свою очередь в каждой из этих групп существует своя иерархия нормативно-правовых актов.</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Что касается законов, то на вершине пирамиды этих нормативно-правовых актов находится Конституция — Основной закон страны. Затем следуют федеральные конституционные законы, обычные федеральные законы и законы субъектов федерации.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Каждый из нижестоящих законов в этой пирамиде не может противоречить вышестоящему.</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Среди обычных законов особого внимания заслуживают кодифицированные акты — отраслевые кодексы, которые являются основными источниками права для соответствующих отраслей.</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Что касается подзаконных нормативно-правовых актов, то здесь наибольшей юридической силой обладают указы Президента Российской Федерации и постановления Правительства Российской Федерации.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Далее следуют ведомственные нормативно-правовые акты (приказы, инструкции и т. п., документы различных министерств и ведомств), местные (нормативно-правовые акты местных органов государственной власти и местного самоуправления) и локальные(внутриорганизационные) нормативно-правовые акты(т. е. акты, издаваемые и действующие в пределах отдельных предприятий, учреждений, организаций).</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Среди источников хозяйственного права мы обнаруживаем нормативно-правовые акты, принадлежащие ко всем группам и подгруппам системы нормативно-правовых актов и находящиеся на всех этажах их иерархии. Охарактеризуем наиболее важные из них.</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xml:space="preserve">Важнейшие, основополагающие нормы хозяйственного права России закреплены в </w:t>
      </w:r>
      <w:proofErr w:type="spellStart"/>
      <w:r w:rsidRPr="001D37A2">
        <w:rPr>
          <w:color w:val="000000"/>
        </w:rPr>
        <w:t>КонституцииРФ</w:t>
      </w:r>
      <w:proofErr w:type="spellEnd"/>
      <w:r w:rsidRPr="001D37A2">
        <w:rPr>
          <w:color w:val="000000"/>
        </w:rPr>
        <w:t>. Их можно рассматривать как принципы хозяйственного права, т. е. основополагающие начала, из которых исходят все другие нормы хозяйственного</w:t>
      </w:r>
      <w:r>
        <w:rPr>
          <w:color w:val="000000"/>
        </w:rPr>
        <w:t xml:space="preserve"> </w:t>
      </w:r>
      <w:r w:rsidRPr="001D37A2">
        <w:rPr>
          <w:color w:val="000000"/>
        </w:rPr>
        <w:t>права. К ним относятся:</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единство экономического пространства;</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свободное перемещение товаров, услуг и финансовых средств;</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поддержка конкуренции;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многообразие форм собственности;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свобода экономической деятельности, включая право каждого на предпринимательскую деятельность.</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Следующим по значению после Конституции РФ источником хозяйственного права в нашей стране является Гражданский кодекс Российской Федерации.</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Именно в нем содержатся правовые нормы, регулирующие такие важные для участников хозяйственной деятельности отношения, как отношения собственности, обязательственные отношения, включая договорные (куплю-продажу, поставку, подряд, капитальное строительство и т. д.) и другие.</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Среди кодифицированных актов, помимо Гражданского кодекса РФ, в качестве источников хозяйственного права можно рассматривать Налоговый кодекс РФ, Кодекс РФ об административных правонарушениях, Уголовный кодекс РФ. В них также содержаться правовые нормы, непосредственно касающиеся субъектов хозяйственной деятельности, устанавливающие наказания за правонарушения в этой сфере.</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К числу важнейших источников хозяйственного права следует отнести целый ряд федеральных законов, регулирующих отдельные аспекты экономической деятельности: «Об акционерных обществах», «О банках и банковской деятельности», «О бухгалтерском учете», «О несостоятельности (банкротстве)» и многие другие.</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lastRenderedPageBreak/>
        <w:t xml:space="preserve">Важную роль в регулировании экономических отношений в нашей стране играют указы </w:t>
      </w:r>
      <w:proofErr w:type="spellStart"/>
      <w:r w:rsidRPr="001D37A2">
        <w:rPr>
          <w:color w:val="000000"/>
        </w:rPr>
        <w:t>ПрезидентаРФ</w:t>
      </w:r>
      <w:proofErr w:type="spellEnd"/>
      <w:r w:rsidRPr="001D37A2">
        <w:rPr>
          <w:color w:val="000000"/>
        </w:rPr>
        <w:t xml:space="preserve"> и постановления Правительства РФ. По </w:t>
      </w:r>
      <w:proofErr w:type="spellStart"/>
      <w:r w:rsidRPr="001D37A2">
        <w:rPr>
          <w:color w:val="000000"/>
        </w:rPr>
        <w:t>своемузначению</w:t>
      </w:r>
      <w:proofErr w:type="spellEnd"/>
      <w:r w:rsidRPr="001D37A2">
        <w:rPr>
          <w:color w:val="000000"/>
        </w:rPr>
        <w:t xml:space="preserve"> они иногда сопоставимы с законами. Однако следует помнить, что при всей их важности, это все-таки подзаконные акты, и они не должны противоречить Конституции РФ и федеральным законам. Главное их предназначение — обеспечить реализацию положений Конституции и законов.</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Нормативно-правовые акты министерств и ведомств определяют формы и механизмы реализации законов, указов Президента и постановлений Правительства РФ. Так, например, в инструкциях налогового ведомства содержатся указания по применению налогового законодательства.</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 xml:space="preserve">Нормы хозяйственного права могут содержаться и в некоторых нормативно-правовых актах </w:t>
      </w:r>
      <w:proofErr w:type="spellStart"/>
      <w:r w:rsidRPr="001D37A2">
        <w:rPr>
          <w:color w:val="000000"/>
        </w:rPr>
        <w:t>органовместного</w:t>
      </w:r>
      <w:proofErr w:type="spellEnd"/>
      <w:r w:rsidRPr="001D37A2">
        <w:rPr>
          <w:color w:val="000000"/>
        </w:rPr>
        <w:t xml:space="preserve"> самоуправления. Как правило, они касаются собственности муниципальных образований и определяют порядок ее использования.</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Некоторые локальные (внутриорганизационные)нормативно-правовые акты также могут содержать нормы хозяйственного права. Любой хозяйствующий субъект может в своих локальных нормативно-правовых актах установить нормы хозяйственной деятельности, обязательные для всех работников данного субъекта (разумеется, если эти нормы не противоречат законам и вышестоящим подзаконным актам).</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Наконец, говоря об источниках хозяйственного права, необходимо иметь в виду, что в соответствии со ст. 15 Конституции РФ частью российской правовой системы являются общепризнанные принципы и нормы международного права и международные договоры Российской Федерации. Поэтому к источникам хозяйственного права России следует отнести также международные договоры Российской Федерации в сфере экономики. На практике большинство субъектов хозяйственной деятельности к такого рода источникам хозяйственного права обращаются редко. Тем не менее, каждому предпринимателю стоит помнить о том, что в случае расхождения правил закона и правил международного договора России приоритет отдается правилам международного договора.</w:t>
      </w:r>
    </w:p>
    <w:p w:rsidR="00000000" w:rsidRPr="001D37A2" w:rsidRDefault="001D37A2">
      <w:pPr>
        <w:rPr>
          <w:rFonts w:ascii="Times New Roman" w:hAnsi="Times New Roman" w:cs="Times New Roman"/>
          <w:sz w:val="24"/>
          <w:szCs w:val="24"/>
        </w:rPr>
      </w:pPr>
    </w:p>
    <w:p w:rsidR="001D37A2" w:rsidRDefault="001D37A2">
      <w:pPr>
        <w:rPr>
          <w:rFonts w:ascii="Times New Roman" w:hAnsi="Times New Roman" w:cs="Times New Roman"/>
          <w:sz w:val="24"/>
          <w:szCs w:val="24"/>
        </w:rPr>
      </w:pPr>
      <w:r>
        <w:rPr>
          <w:rFonts w:ascii="Times New Roman" w:hAnsi="Times New Roman" w:cs="Times New Roman"/>
          <w:sz w:val="24"/>
          <w:szCs w:val="24"/>
        </w:rPr>
        <w:t xml:space="preserve">Задание: </w:t>
      </w:r>
    </w:p>
    <w:p w:rsidR="001D37A2" w:rsidRDefault="001D37A2">
      <w:pPr>
        <w:rPr>
          <w:rFonts w:ascii="Times New Roman" w:hAnsi="Times New Roman" w:cs="Times New Roman"/>
          <w:sz w:val="24"/>
          <w:szCs w:val="24"/>
        </w:rPr>
      </w:pPr>
      <w:r>
        <w:rPr>
          <w:rFonts w:ascii="Times New Roman" w:hAnsi="Times New Roman" w:cs="Times New Roman"/>
          <w:sz w:val="24"/>
          <w:szCs w:val="24"/>
        </w:rPr>
        <w:t>1. Составьте краткий конспект лекций.</w:t>
      </w:r>
    </w:p>
    <w:p w:rsidR="001D37A2" w:rsidRDefault="001D37A2" w:rsidP="001D37A2">
      <w:pPr>
        <w:rPr>
          <w:rFonts w:ascii="Times New Roman" w:hAnsi="Times New Roman" w:cs="Times New Roman"/>
          <w:sz w:val="24"/>
          <w:szCs w:val="24"/>
        </w:rPr>
      </w:pPr>
      <w:r>
        <w:rPr>
          <w:rFonts w:ascii="Times New Roman" w:hAnsi="Times New Roman" w:cs="Times New Roman"/>
          <w:sz w:val="24"/>
          <w:szCs w:val="24"/>
        </w:rPr>
        <w:t>2. Составьте таблицу</w:t>
      </w:r>
    </w:p>
    <w:tbl>
      <w:tblPr>
        <w:tblStyle w:val="a4"/>
        <w:tblW w:w="0" w:type="auto"/>
        <w:tblLook w:val="04A0"/>
      </w:tblPr>
      <w:tblGrid>
        <w:gridCol w:w="675"/>
        <w:gridCol w:w="3402"/>
        <w:gridCol w:w="5494"/>
      </w:tblGrid>
      <w:tr w:rsidR="001D37A2" w:rsidTr="001D37A2">
        <w:tc>
          <w:tcPr>
            <w:tcW w:w="675" w:type="dxa"/>
          </w:tcPr>
          <w:p w:rsidR="001D37A2" w:rsidRDefault="001D37A2" w:rsidP="001D37A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/П</w:t>
            </w:r>
          </w:p>
        </w:tc>
        <w:tc>
          <w:tcPr>
            <w:tcW w:w="3402" w:type="dxa"/>
          </w:tcPr>
          <w:p w:rsidR="001D37A2" w:rsidRPr="001D37A2" w:rsidRDefault="001D37A2" w:rsidP="001D37A2">
            <w:pPr>
              <w:pStyle w:val="a3"/>
              <w:shd w:val="clear" w:color="auto" w:fill="FFFFDD"/>
              <w:spacing w:before="0" w:beforeAutospacing="0" w:after="0" w:afterAutospacing="0"/>
              <w:ind w:firstLine="215"/>
              <w:jc w:val="both"/>
              <w:rPr>
                <w:color w:val="000000"/>
              </w:rPr>
            </w:pPr>
            <w:r>
              <w:rPr>
                <w:color w:val="000000"/>
              </w:rPr>
              <w:t>Наименование признака</w:t>
            </w:r>
            <w:r w:rsidRPr="001D37A2">
              <w:rPr>
                <w:color w:val="000000"/>
              </w:rPr>
              <w:t xml:space="preserve"> п</w:t>
            </w:r>
            <w:r>
              <w:rPr>
                <w:color w:val="000000"/>
              </w:rPr>
              <w:t>редпринимательской деятельности</w:t>
            </w:r>
          </w:p>
          <w:p w:rsidR="001D37A2" w:rsidRDefault="001D37A2" w:rsidP="001D37A2">
            <w:pPr>
              <w:rPr>
                <w:rFonts w:ascii="Times New Roman" w:hAnsi="Times New Roman" w:cs="Times New Roman"/>
                <w:sz w:val="24"/>
                <w:szCs w:val="24"/>
              </w:rPr>
            </w:pPr>
          </w:p>
        </w:tc>
        <w:tc>
          <w:tcPr>
            <w:tcW w:w="5494" w:type="dxa"/>
          </w:tcPr>
          <w:p w:rsidR="001D37A2" w:rsidRPr="001D37A2" w:rsidRDefault="001D37A2" w:rsidP="001D37A2">
            <w:pPr>
              <w:pStyle w:val="a3"/>
              <w:shd w:val="clear" w:color="auto" w:fill="FFFFDD"/>
              <w:spacing w:before="0" w:beforeAutospacing="0" w:after="0" w:afterAutospacing="0"/>
              <w:ind w:firstLine="215"/>
              <w:jc w:val="both"/>
              <w:rPr>
                <w:color w:val="000000"/>
              </w:rPr>
            </w:pPr>
            <w:r>
              <w:rPr>
                <w:color w:val="000000"/>
              </w:rPr>
              <w:t>Характеристика признака</w:t>
            </w:r>
            <w:r w:rsidRPr="001D37A2">
              <w:rPr>
                <w:color w:val="000000"/>
              </w:rPr>
              <w:t xml:space="preserve"> п</w:t>
            </w:r>
            <w:r>
              <w:rPr>
                <w:color w:val="000000"/>
              </w:rPr>
              <w:t>редпринимательской деятельности</w:t>
            </w:r>
          </w:p>
          <w:p w:rsidR="001D37A2" w:rsidRDefault="001D37A2" w:rsidP="001D37A2">
            <w:pPr>
              <w:rPr>
                <w:rFonts w:ascii="Times New Roman" w:hAnsi="Times New Roman" w:cs="Times New Roman"/>
                <w:sz w:val="24"/>
                <w:szCs w:val="24"/>
              </w:rPr>
            </w:pPr>
          </w:p>
        </w:tc>
      </w:tr>
      <w:tr w:rsidR="001D37A2" w:rsidTr="001D37A2">
        <w:tc>
          <w:tcPr>
            <w:tcW w:w="675" w:type="dxa"/>
          </w:tcPr>
          <w:p w:rsidR="001D37A2" w:rsidRDefault="001D37A2" w:rsidP="001D37A2">
            <w:pP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1D37A2" w:rsidRDefault="001D37A2" w:rsidP="001D37A2">
            <w:pPr>
              <w:rPr>
                <w:rFonts w:ascii="Times New Roman" w:hAnsi="Times New Roman" w:cs="Times New Roman"/>
                <w:sz w:val="24"/>
                <w:szCs w:val="24"/>
              </w:rPr>
            </w:pPr>
            <w:r>
              <w:rPr>
                <w:rFonts w:ascii="Times New Roman" w:hAnsi="Times New Roman" w:cs="Times New Roman"/>
                <w:sz w:val="24"/>
                <w:szCs w:val="24"/>
              </w:rPr>
              <w:t>Самостоятельность</w:t>
            </w:r>
          </w:p>
        </w:tc>
        <w:tc>
          <w:tcPr>
            <w:tcW w:w="5494" w:type="dxa"/>
          </w:tcPr>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Самостоятельность как признак предпринимательской деятельности включает в себя организационную самостоятельность и имущественную самостоятельность предпринимателя.</w:t>
            </w:r>
          </w:p>
          <w:p w:rsidR="001D37A2" w:rsidRPr="001D37A2" w:rsidRDefault="001D37A2" w:rsidP="001D37A2">
            <w:pPr>
              <w:pStyle w:val="a3"/>
              <w:shd w:val="clear" w:color="auto" w:fill="FFFFDD"/>
              <w:spacing w:before="0" w:beforeAutospacing="0" w:after="0" w:afterAutospacing="0"/>
              <w:ind w:firstLine="215"/>
              <w:jc w:val="both"/>
              <w:rPr>
                <w:color w:val="000000"/>
              </w:rPr>
            </w:pPr>
            <w:r w:rsidRPr="001D37A2">
              <w:rPr>
                <w:color w:val="000000"/>
              </w:rPr>
              <w:t>Организационная самостоятельность проявляется в том, что предприниматель сам — без всяких указаний «сверху» — решает, что и как производить, у кого приобретать необходимое сырье и материалы, кому и по каким ценам реализовывать произведенную продукцию и т. д.</w:t>
            </w:r>
          </w:p>
          <w:p w:rsidR="001D37A2" w:rsidRDefault="001D37A2" w:rsidP="001D37A2">
            <w:pPr>
              <w:rPr>
                <w:rFonts w:ascii="Times New Roman" w:hAnsi="Times New Roman" w:cs="Times New Roman"/>
                <w:sz w:val="24"/>
                <w:szCs w:val="24"/>
              </w:rPr>
            </w:pPr>
            <w:r w:rsidRPr="001D37A2">
              <w:rPr>
                <w:rFonts w:ascii="Times New Roman" w:hAnsi="Times New Roman" w:cs="Times New Roman"/>
                <w:color w:val="000000"/>
                <w:sz w:val="24"/>
                <w:szCs w:val="24"/>
              </w:rPr>
              <w:t xml:space="preserve">Имущественная самостоятельность предполагает наличие у предпринимателя обособленного, т.е. именно ему принадлежащего имущества, которое </w:t>
            </w:r>
            <w:r w:rsidRPr="001D37A2">
              <w:rPr>
                <w:rFonts w:ascii="Times New Roman" w:hAnsi="Times New Roman" w:cs="Times New Roman"/>
                <w:color w:val="000000"/>
                <w:sz w:val="24"/>
                <w:szCs w:val="24"/>
              </w:rPr>
              <w:lastRenderedPageBreak/>
              <w:t>он использует при осуществлении предпринимательской деятельности.</w:t>
            </w:r>
          </w:p>
        </w:tc>
      </w:tr>
      <w:tr w:rsidR="001D37A2" w:rsidTr="001D37A2">
        <w:tc>
          <w:tcPr>
            <w:tcW w:w="675" w:type="dxa"/>
          </w:tcPr>
          <w:p w:rsidR="001D37A2" w:rsidRDefault="001D37A2" w:rsidP="001D37A2">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402" w:type="dxa"/>
          </w:tcPr>
          <w:p w:rsidR="001D37A2" w:rsidRDefault="001D37A2" w:rsidP="001D37A2">
            <w:pPr>
              <w:rPr>
                <w:rFonts w:ascii="Times New Roman" w:hAnsi="Times New Roman" w:cs="Times New Roman"/>
                <w:sz w:val="24"/>
                <w:szCs w:val="24"/>
              </w:rPr>
            </w:pPr>
          </w:p>
        </w:tc>
        <w:tc>
          <w:tcPr>
            <w:tcW w:w="5494" w:type="dxa"/>
          </w:tcPr>
          <w:p w:rsidR="001D37A2" w:rsidRPr="001D37A2" w:rsidRDefault="001D37A2" w:rsidP="001D37A2">
            <w:pPr>
              <w:pStyle w:val="a3"/>
              <w:shd w:val="clear" w:color="auto" w:fill="FFFFDD"/>
              <w:spacing w:before="0" w:beforeAutospacing="0" w:after="0" w:afterAutospacing="0"/>
              <w:ind w:firstLine="215"/>
              <w:jc w:val="both"/>
              <w:rPr>
                <w:color w:val="000000"/>
              </w:rPr>
            </w:pPr>
          </w:p>
        </w:tc>
      </w:tr>
    </w:tbl>
    <w:p w:rsidR="001D37A2" w:rsidRDefault="001D37A2" w:rsidP="001D37A2">
      <w:pPr>
        <w:rPr>
          <w:rFonts w:ascii="Times New Roman" w:hAnsi="Times New Roman" w:cs="Times New Roman"/>
          <w:sz w:val="24"/>
          <w:szCs w:val="24"/>
        </w:rPr>
      </w:pPr>
    </w:p>
    <w:p w:rsidR="001D37A2" w:rsidRDefault="001D37A2" w:rsidP="001D37A2">
      <w:pPr>
        <w:rPr>
          <w:rFonts w:ascii="Times New Roman" w:hAnsi="Times New Roman" w:cs="Times New Roman"/>
          <w:sz w:val="24"/>
          <w:szCs w:val="24"/>
        </w:rPr>
      </w:pPr>
    </w:p>
    <w:p w:rsidR="001D37A2" w:rsidRPr="00CE1BBA" w:rsidRDefault="001D37A2" w:rsidP="001D37A2">
      <w:pPr>
        <w:ind w:firstLine="708"/>
        <w:rPr>
          <w:rFonts w:ascii="Times New Roman" w:hAnsi="Times New Roman" w:cs="Times New Roman"/>
          <w:b/>
        </w:rPr>
      </w:pPr>
      <w:r w:rsidRPr="00CE1BBA">
        <w:rPr>
          <w:rFonts w:ascii="Times New Roman" w:hAnsi="Times New Roman" w:cs="Times New Roman"/>
          <w:b/>
        </w:rPr>
        <w:t xml:space="preserve">Литература </w:t>
      </w:r>
    </w:p>
    <w:p w:rsidR="001D37A2" w:rsidRPr="00CE1BBA" w:rsidRDefault="001D37A2" w:rsidP="001D37A2">
      <w:pPr>
        <w:widowControl w:val="0"/>
        <w:tabs>
          <w:tab w:val="left" w:pos="522"/>
        </w:tabs>
        <w:spacing w:after="0" w:line="322" w:lineRule="exact"/>
        <w:jc w:val="both"/>
        <w:rPr>
          <w:rFonts w:ascii="Times New Roman" w:eastAsia="Arial Unicode MS" w:hAnsi="Times New Roman" w:cs="Times New Roman"/>
          <w:sz w:val="24"/>
          <w:szCs w:val="24"/>
        </w:rPr>
      </w:pPr>
      <w:proofErr w:type="spellStart"/>
      <w:r w:rsidRPr="00CE1BBA">
        <w:rPr>
          <w:rFonts w:ascii="Times New Roman" w:eastAsia="Arial Unicode MS" w:hAnsi="Times New Roman" w:cs="Times New Roman"/>
          <w:sz w:val="24"/>
          <w:szCs w:val="24"/>
        </w:rPr>
        <w:t>Пшенко</w:t>
      </w:r>
      <w:proofErr w:type="spellEnd"/>
      <w:r w:rsidRPr="00CE1BBA">
        <w:rPr>
          <w:rFonts w:ascii="Times New Roman" w:eastAsia="Arial Unicode MS" w:hAnsi="Times New Roman" w:cs="Times New Roman"/>
          <w:sz w:val="24"/>
          <w:szCs w:val="24"/>
        </w:rPr>
        <w:t xml:space="preserve"> А.В.</w:t>
      </w:r>
      <w:r w:rsidRPr="00CE1BBA">
        <w:rPr>
          <w:rFonts w:ascii="Times New Roman" w:eastAsia="Times New Roman" w:hAnsi="Times New Roman" w:cs="Times New Roman"/>
        </w:rPr>
        <w:t xml:space="preserve"> Документационное обеспечение управления: учебник для студ. учреждений </w:t>
      </w:r>
      <w:proofErr w:type="spellStart"/>
      <w:r w:rsidRPr="00CE1BBA">
        <w:rPr>
          <w:rFonts w:ascii="Times New Roman" w:eastAsia="Times New Roman" w:hAnsi="Times New Roman" w:cs="Times New Roman"/>
        </w:rPr>
        <w:t>сред.проф</w:t>
      </w:r>
      <w:proofErr w:type="spellEnd"/>
      <w:r w:rsidRPr="00CE1BBA">
        <w:rPr>
          <w:rFonts w:ascii="Times New Roman" w:eastAsia="Times New Roman" w:hAnsi="Times New Roman" w:cs="Times New Roman"/>
        </w:rPr>
        <w:t xml:space="preserve">. образования / </w:t>
      </w:r>
      <w:proofErr w:type="spellStart"/>
      <w:r w:rsidRPr="00CE1BBA">
        <w:rPr>
          <w:rFonts w:ascii="Times New Roman" w:eastAsia="Times New Roman" w:hAnsi="Times New Roman" w:cs="Times New Roman"/>
        </w:rPr>
        <w:t>А.В.Пшенко</w:t>
      </w:r>
      <w:proofErr w:type="spellEnd"/>
      <w:r w:rsidRPr="00CE1BBA">
        <w:rPr>
          <w:rFonts w:ascii="Times New Roman" w:eastAsia="Times New Roman" w:hAnsi="Times New Roman" w:cs="Times New Roman"/>
        </w:rPr>
        <w:t>, Л.А.Доронина.-14-е изд., стер. М.: Издательский центр «Академия», 2015</w:t>
      </w:r>
    </w:p>
    <w:p w:rsidR="001D37A2" w:rsidRPr="00CE1BBA" w:rsidRDefault="001D37A2" w:rsidP="001D37A2">
      <w:pPr>
        <w:ind w:firstLine="708"/>
        <w:rPr>
          <w:rFonts w:ascii="Times New Roman" w:hAnsi="Times New Roman" w:cs="Times New Roman"/>
          <w:b/>
          <w:sz w:val="24"/>
          <w:szCs w:val="24"/>
        </w:rPr>
      </w:pPr>
    </w:p>
    <w:p w:rsidR="001D37A2" w:rsidRPr="001D37A2" w:rsidRDefault="001D37A2" w:rsidP="001D37A2">
      <w:pPr>
        <w:rPr>
          <w:rFonts w:ascii="Times New Roman" w:hAnsi="Times New Roman" w:cs="Times New Roman"/>
          <w:sz w:val="24"/>
          <w:szCs w:val="24"/>
        </w:rPr>
      </w:pPr>
    </w:p>
    <w:sectPr w:rsidR="001D37A2" w:rsidRPr="001D3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1D37A2"/>
    <w:rsid w:val="001D3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7A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D3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19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2562</Words>
  <Characters>14607</Characters>
  <Application>Microsoft Office Word</Application>
  <DocSecurity>0</DocSecurity>
  <Lines>121</Lines>
  <Paragraphs>34</Paragraphs>
  <ScaleCrop>false</ScaleCrop>
  <Company>Grizli777</Company>
  <LinksUpToDate>false</LinksUpToDate>
  <CharactersWithSpaces>17135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2</cp:revision>
  <dcterms:created xsi:type="dcterms:W3CDTF">2020-05-18T17:02:00Z</dcterms:created>
  <dcterms:modified xsi:type="dcterms:W3CDTF">2020-05-18T17:12:00Z</dcterms:modified>
</cp:coreProperties>
</file>